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157" w:rsidRPr="000E6157" w:rsidRDefault="000E6157" w:rsidP="000E6157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0E6157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2015年成人高考高起点语文古诗练习题及答案(5)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清平乐 独居博山王氏庵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辛弃疾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绕床饥鼠，蝙蝠翻灯舞。屋上松风吹急雨，破纸窗间自语。平生塞北江南，归来华发苍颜。布被秋宵梦觉，眼前万里江山。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19、词的上片描绘的是什么样的景象?写“鼠”是“饥”的，说明了什么?“破纸窗间自语”用了什么修辞手法?这样写有什么作用?(5分)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答：_____________________________________________________________________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20、词的下片抒发了词人怎样的感情?表现出词人什么思想?(4分)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答：_____________________________________________________________________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答案：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19.词的上片描绘夜宿的王氏茅屋中凄凉破败的景象。“鼠”是“饥”的，说明这里已经长时间断了“烟火”。“破纸窗间自语”一句，用了拟人的修辞手法。</w:t>
      </w:r>
      <w:proofErr w:type="gramStart"/>
      <w:r>
        <w:rPr>
          <w:rFonts w:hint="eastAsia"/>
          <w:color w:val="333333"/>
          <w:sz w:val="19"/>
          <w:szCs w:val="19"/>
        </w:rPr>
        <w:t>这样写更渲染</w:t>
      </w:r>
      <w:proofErr w:type="gramEnd"/>
      <w:r>
        <w:rPr>
          <w:rFonts w:hint="eastAsia"/>
          <w:color w:val="333333"/>
          <w:sz w:val="19"/>
          <w:szCs w:val="19"/>
        </w:rPr>
        <w:t>了凄凉的气氛，衬托出作者百无聊赖的寂寞心情。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 抒发词人感慨而不悲观，失意时仍不忘抗金报国、恢复中原大业的感情，表现出词人崇高的爱国主义思想。</w:t>
      </w:r>
    </w:p>
    <w:p w:rsidR="000E6157" w:rsidRDefault="000E6157" w:rsidP="000E6157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(3)韩愈弟子不必不如师师不必贤于弟子</w:t>
      </w:r>
    </w:p>
    <w:p w:rsidR="00946F38" w:rsidRPr="000E6157" w:rsidRDefault="00946F38"/>
    <w:sectPr w:rsidR="00946F38" w:rsidRPr="000E6157" w:rsidSect="00946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6157"/>
    <w:rsid w:val="000E6157"/>
    <w:rsid w:val="00946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3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61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615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E61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E61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>WwW.YlmF.CoM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2015-07-10T07:09:00Z</dcterms:created>
  <dcterms:modified xsi:type="dcterms:W3CDTF">2015-07-10T07:10:00Z</dcterms:modified>
</cp:coreProperties>
</file>